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Times New Roman" w:hAnsi="Times New Roman" w:eastAsia="仿宋_GB2312"/>
          <w:sz w:val="28"/>
          <w:szCs w:val="28"/>
        </w:rPr>
        <w:t>3</w:t>
      </w:r>
      <w:r>
        <w:rPr>
          <w:rFonts w:hint="eastAsia" w:ascii="仿宋_GB2312" w:eastAsia="仿宋_GB2312"/>
          <w:sz w:val="28"/>
          <w:szCs w:val="28"/>
        </w:rPr>
        <w:t>：</w:t>
      </w:r>
    </w:p>
    <w:p>
      <w:pPr>
        <w:widowControl/>
        <w:spacing w:after="156" w:afterLines="50"/>
        <w:jc w:val="center"/>
        <w:rPr>
          <w:rFonts w:ascii="黑体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ascii="Times New Roman" w:hAnsi="Times New Roman" w:eastAsia="黑体"/>
          <w:sz w:val="32"/>
          <w:szCs w:val="32"/>
        </w:rPr>
        <w:t>021</w:t>
      </w:r>
      <w:r>
        <w:rPr>
          <w:rFonts w:hint="eastAsia" w:ascii="黑体" w:eastAsia="黑体"/>
          <w:sz w:val="32"/>
          <w:szCs w:val="32"/>
        </w:rPr>
        <w:t>年在线教学优秀案例汇总表</w:t>
      </w:r>
    </w:p>
    <w:p>
      <w:pPr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推荐单位（公章）：                     单位负责人（</w:t>
      </w:r>
      <w:bookmarkStart w:id="0" w:name="_GoBack"/>
      <w:bookmarkEnd w:id="0"/>
      <w:r>
        <w:rPr>
          <w:rFonts w:hint="eastAsia" w:ascii="黑体" w:hAnsi="黑体" w:eastAsia="黑体" w:cs="黑体"/>
          <w:sz w:val="24"/>
        </w:rPr>
        <w:t xml:space="preserve">签名）：                    </w:t>
      </w:r>
    </w:p>
    <w:tbl>
      <w:tblPr>
        <w:tblStyle w:val="2"/>
        <w:tblW w:w="1297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91"/>
        <w:gridCol w:w="1472"/>
        <w:gridCol w:w="2694"/>
        <w:gridCol w:w="801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  <w:t>类别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  <w:t>案例负责人</w:t>
            </w: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  <w:t>案例</w:t>
            </w:r>
            <w:r>
              <w:rPr>
                <w:rFonts w:ascii="黑体" w:hAnsi="宋体" w:eastAsia="黑体" w:cs="黑体"/>
                <w:b/>
                <w:color w:val="000000"/>
                <w:kern w:val="0"/>
                <w:sz w:val="22"/>
                <w:lang w:bidi="ar"/>
              </w:rPr>
              <w:t>名称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  <w:r>
              <w:rPr>
                <w:rFonts w:hint="eastAsia" w:ascii="Times New Roman" w:hAnsi="Times New Roman" w:eastAsia="新宋体" w:cs="新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22"/>
              </w:rPr>
              <w:t xml:space="preserve"> </w:t>
            </w:r>
            <w:r>
              <w:rPr>
                <w:rFonts w:ascii="新宋体" w:hAnsi="新宋体" w:eastAsia="新宋体" w:cs="新宋体"/>
                <w:color w:val="000000"/>
                <w:sz w:val="22"/>
              </w:rPr>
              <w:t xml:space="preserve">   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  <w:r>
              <w:rPr>
                <w:rFonts w:hint="eastAsia" w:ascii="Times New Roman" w:hAnsi="Times New Roman" w:eastAsia="新宋体" w:cs="新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  <w:r>
              <w:rPr>
                <w:rFonts w:hint="eastAsia" w:ascii="Times New Roman" w:hAnsi="Times New Roman" w:eastAsia="新宋体" w:cs="新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CC0000"/>
                <w:sz w:val="2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  <w:r>
              <w:rPr>
                <w:rFonts w:hint="eastAsia" w:ascii="Times New Roman" w:hAnsi="Times New Roman" w:eastAsia="新宋体" w:cs="新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eastAsia="新宋体" w:cs="新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</w:trPr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22"/>
                <w:lang w:bidi="ar"/>
              </w:rPr>
              <w:t>……</w:t>
            </w:r>
          </w:p>
        </w:tc>
        <w:tc>
          <w:tcPr>
            <w:tcW w:w="14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  <w:tc>
          <w:tcPr>
            <w:tcW w:w="8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新宋体" w:hAnsi="新宋体" w:eastAsia="新宋体" w:cs="新宋体"/>
                <w:color w:val="000000"/>
                <w:sz w:val="22"/>
              </w:rPr>
            </w:pPr>
          </w:p>
        </w:tc>
      </w:tr>
    </w:tbl>
    <w:p/>
    <w:p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说明：</w:t>
      </w:r>
    </w:p>
    <w:p>
      <w:pPr>
        <w:rPr>
          <w:rFonts w:ascii="宋体" w:hAnsi="宋体" w:eastAsia="宋体" w:cs="宋体"/>
        </w:rPr>
      </w:pPr>
      <w:r>
        <w:rPr>
          <w:rFonts w:hint="eastAsia" w:ascii="Times New Roman" w:hAnsi="Times New Roman" w:eastAsia="宋体" w:cs="宋体"/>
        </w:rPr>
        <w:t>1</w:t>
      </w:r>
      <w:r>
        <w:rPr>
          <w:rFonts w:hint="eastAsia" w:ascii="宋体" w:hAnsi="宋体" w:eastAsia="宋体" w:cs="宋体"/>
        </w:rPr>
        <w:t>、“类别”列填混合式、在线类；</w:t>
      </w:r>
    </w:p>
    <w:p>
      <w:pPr>
        <w:rPr>
          <w:rFonts w:ascii="宋体" w:hAnsi="宋体" w:eastAsia="宋体" w:cs="宋体"/>
        </w:rPr>
      </w:pPr>
      <w:r>
        <w:rPr>
          <w:rFonts w:hint="eastAsia" w:ascii="Times New Roman" w:hAnsi="Times New Roman" w:eastAsia="宋体" w:cs="宋体"/>
        </w:rPr>
        <w:t>2</w:t>
      </w:r>
      <w:r>
        <w:rPr>
          <w:rFonts w:hint="eastAsia" w:ascii="宋体" w:hAnsi="宋体" w:eastAsia="宋体" w:cs="宋体"/>
        </w:rPr>
        <w:t>、“案例负责人”名单与申报书一致（</w:t>
      </w:r>
      <w:r>
        <w:rPr>
          <w:rFonts w:hint="eastAsia" w:ascii="Times New Roman" w:hAnsi="Times New Roman" w:eastAsia="宋体" w:cs="宋体"/>
        </w:rPr>
        <w:t>3</w:t>
      </w:r>
      <w:r>
        <w:rPr>
          <w:rFonts w:hint="eastAsia" w:ascii="宋体" w:hAnsi="宋体" w:eastAsia="宋体" w:cs="宋体"/>
        </w:rPr>
        <w:t>人以内）；</w:t>
      </w:r>
    </w:p>
    <w:p>
      <w:pPr>
        <w:rPr>
          <w:rFonts w:ascii="宋体" w:hAnsi="宋体" w:eastAsia="宋体" w:cs="宋体"/>
        </w:rPr>
      </w:pPr>
      <w:r>
        <w:rPr>
          <w:rFonts w:hint="eastAsia" w:ascii="Times New Roman" w:hAnsi="Times New Roman" w:eastAsia="宋体" w:cs="宋体"/>
        </w:rPr>
        <w:t>3</w:t>
      </w:r>
      <w:r>
        <w:rPr>
          <w:rFonts w:hint="eastAsia" w:ascii="宋体" w:hAnsi="宋体" w:eastAsia="宋体" w:cs="宋体"/>
        </w:rPr>
        <w:t>、按推荐顺序排列。</w:t>
      </w:r>
    </w:p>
    <w:sectPr>
      <w:pgSz w:w="16838" w:h="11906" w:orient="landscape"/>
      <w:pgMar w:top="1797" w:right="1361" w:bottom="179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337"/>
    <w:rsid w:val="00CD6E38"/>
    <w:rsid w:val="00D15337"/>
    <w:rsid w:val="336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2021-03-17T03:25:00Z</dcterms:created>
  <dc:creator>Stark Joie</dc:creator>
  <cp:lastModifiedBy>Administrator</cp:lastModifiedBy>
  <dcterms:modified xsi:type="dcterms:W3CDTF">2021-03-18T00:31:40Z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